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26" w:rsidRDefault="00340083">
      <w:r>
        <w:t>Расходование финансовых и материальных средств по итогам 2025 года:</w:t>
      </w:r>
    </w:p>
    <w:p w:rsidR="00340083" w:rsidRDefault="00340083">
      <w:r>
        <w:t>Расходовано : 20589915,61 рублей</w:t>
      </w:r>
    </w:p>
    <w:sectPr w:rsidR="00340083" w:rsidSect="00F8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340083"/>
    <w:rsid w:val="00340083"/>
    <w:rsid w:val="00F8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</dc:creator>
  <cp:lastModifiedBy>iuser</cp:lastModifiedBy>
  <cp:revision>1</cp:revision>
  <dcterms:created xsi:type="dcterms:W3CDTF">2025-02-17T02:55:00Z</dcterms:created>
  <dcterms:modified xsi:type="dcterms:W3CDTF">2025-02-17T02:57:00Z</dcterms:modified>
</cp:coreProperties>
</file>